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608C9719"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10</w:t>
      </w:r>
      <w:r w:rsidR="00DA2245">
        <w:rPr>
          <w:rFonts w:ascii="Arial" w:hAnsi="Arial" w:cs="Arial"/>
          <w:b/>
          <w:sz w:val="22"/>
          <w:szCs w:val="24"/>
          <w:lang w:eastAsia="zh-CN"/>
        </w:rPr>
        <w:t>9</w:t>
      </w:r>
      <w:r w:rsidR="003F0E82">
        <w:rPr>
          <w:rFonts w:ascii="Arial" w:hAnsi="Arial" w:cs="Arial"/>
          <w:b/>
          <w:sz w:val="22"/>
          <w:szCs w:val="24"/>
          <w:lang w:eastAsia="zh-CN"/>
        </w:rPr>
        <w:t>-e</w:t>
      </w:r>
      <w:r w:rsidRPr="00243B51">
        <w:rPr>
          <w:rFonts w:ascii="Arial" w:hAnsi="Arial" w:cs="Arial"/>
          <w:b/>
          <w:sz w:val="22"/>
          <w:szCs w:val="24"/>
        </w:rPr>
        <w:tab/>
      </w:r>
      <w:r w:rsidR="00542458" w:rsidRPr="00542458">
        <w:rPr>
          <w:rFonts w:ascii="Arial" w:hAnsi="Arial" w:cs="Arial"/>
          <w:b/>
          <w:sz w:val="22"/>
          <w:szCs w:val="24"/>
        </w:rPr>
        <w:t>R1-</w:t>
      </w:r>
      <w:r w:rsidR="0053211F" w:rsidRPr="0053211F">
        <w:rPr>
          <w:rFonts w:ascii="Arial" w:hAnsi="Arial" w:cs="Arial"/>
          <w:b/>
          <w:sz w:val="22"/>
          <w:szCs w:val="24"/>
        </w:rPr>
        <w:t>2204988</w:t>
      </w:r>
    </w:p>
    <w:p w14:paraId="11D9F0EF" w14:textId="0327B8D3"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DA2245">
        <w:rPr>
          <w:rFonts w:cs="Arial"/>
          <w:i w:val="0"/>
          <w:sz w:val="22"/>
          <w:szCs w:val="24"/>
        </w:rPr>
        <w:t>May</w:t>
      </w:r>
      <w:r w:rsidR="005F60E6" w:rsidRPr="00A42435">
        <w:rPr>
          <w:rFonts w:cs="Arial"/>
          <w:i w:val="0"/>
          <w:sz w:val="22"/>
          <w:szCs w:val="24"/>
        </w:rPr>
        <w:t xml:space="preserve"> </w:t>
      </w:r>
      <w:r w:rsidR="00224ACC">
        <w:rPr>
          <w:rFonts w:cs="Arial"/>
          <w:i w:val="0"/>
          <w:sz w:val="22"/>
          <w:szCs w:val="24"/>
        </w:rPr>
        <w:t>9</w:t>
      </w:r>
      <w:r w:rsidR="00224ACC" w:rsidRPr="00224ACC">
        <w:rPr>
          <w:rFonts w:cs="Arial"/>
          <w:i w:val="0"/>
          <w:sz w:val="22"/>
          <w:szCs w:val="24"/>
          <w:vertAlign w:val="superscript"/>
        </w:rPr>
        <w:t>th</w:t>
      </w:r>
      <w:r w:rsidR="00E87CB1" w:rsidRPr="00A42435">
        <w:rPr>
          <w:rFonts w:cs="Arial"/>
          <w:i w:val="0"/>
          <w:sz w:val="22"/>
          <w:szCs w:val="24"/>
        </w:rPr>
        <w:t xml:space="preserve"> –</w:t>
      </w:r>
      <w:r w:rsidR="00016BD0">
        <w:rPr>
          <w:rFonts w:cs="Arial"/>
          <w:i w:val="0"/>
          <w:sz w:val="22"/>
          <w:szCs w:val="24"/>
        </w:rPr>
        <w:t xml:space="preserve"> </w:t>
      </w:r>
      <w:r w:rsidR="00224ACC">
        <w:rPr>
          <w:rFonts w:cs="Arial"/>
          <w:i w:val="0"/>
          <w:sz w:val="22"/>
          <w:szCs w:val="24"/>
        </w:rPr>
        <w:t>20</w:t>
      </w:r>
      <w:r w:rsidR="00224ACC" w:rsidRPr="00224ACC">
        <w:rPr>
          <w:rFonts w:cs="Arial"/>
          <w:i w:val="0"/>
          <w:sz w:val="22"/>
          <w:szCs w:val="24"/>
          <w:vertAlign w:val="superscript"/>
        </w:rPr>
        <w:t>th</w:t>
      </w:r>
      <w:r w:rsidR="00E87CB1" w:rsidRPr="00A42435">
        <w:rPr>
          <w:rFonts w:cs="Arial"/>
          <w:i w:val="0"/>
          <w:sz w:val="22"/>
          <w:szCs w:val="24"/>
        </w:rPr>
        <w:t>, 202</w:t>
      </w:r>
      <w:r w:rsidR="0015109F">
        <w:rPr>
          <w:rFonts w:cs="Arial"/>
          <w:i w:val="0"/>
          <w:sz w:val="22"/>
          <w:szCs w:val="24"/>
        </w:rPr>
        <w:t>2</w:t>
      </w:r>
    </w:p>
    <w:p w14:paraId="3A0CB384" w14:textId="52228876" w:rsidR="00BC335A" w:rsidRPr="00F85496" w:rsidRDefault="00BC335A" w:rsidP="00184658">
      <w:pPr>
        <w:pStyle w:val="Footer"/>
        <w:jc w:val="both"/>
        <w:rPr>
          <w:rFonts w:cs="Arial"/>
          <w:i w:val="0"/>
          <w:sz w:val="24"/>
          <w:szCs w:val="24"/>
        </w:rPr>
      </w:pPr>
    </w:p>
    <w:p w14:paraId="00A480DC" w14:textId="7CF051CB"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1C17C5D0"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0D630C" w:rsidRPr="000D630C">
        <w:rPr>
          <w:rFonts w:ascii="Arial" w:hAnsi="Arial"/>
          <w:sz w:val="22"/>
        </w:rPr>
        <w:t xml:space="preserve">Maintenance </w:t>
      </w:r>
      <w:r w:rsidR="000D630C">
        <w:rPr>
          <w:rFonts w:ascii="Arial" w:hAnsi="Arial"/>
          <w:sz w:val="22"/>
        </w:rPr>
        <w:t>I</w:t>
      </w:r>
      <w:r w:rsidR="000D630C" w:rsidRPr="000D630C">
        <w:rPr>
          <w:rFonts w:ascii="Arial" w:hAnsi="Arial"/>
          <w:sz w:val="22"/>
        </w:rPr>
        <w:t xml:space="preserve">ssues on </w:t>
      </w:r>
      <w:r w:rsidR="000D630C">
        <w:rPr>
          <w:rFonts w:ascii="Arial" w:hAnsi="Arial"/>
          <w:sz w:val="22"/>
        </w:rPr>
        <w:t>I</w:t>
      </w:r>
      <w:r w:rsidR="000D630C" w:rsidRPr="000D630C">
        <w:rPr>
          <w:rFonts w:ascii="Arial" w:hAnsi="Arial"/>
          <w:sz w:val="22"/>
        </w:rPr>
        <w:t xml:space="preserve">dle and </w:t>
      </w:r>
      <w:r w:rsidR="000D630C">
        <w:rPr>
          <w:rFonts w:ascii="Arial" w:hAnsi="Arial"/>
          <w:sz w:val="22"/>
        </w:rPr>
        <w:t>I</w:t>
      </w:r>
      <w:r w:rsidR="000D630C" w:rsidRPr="000D630C">
        <w:rPr>
          <w:rFonts w:ascii="Arial" w:hAnsi="Arial"/>
          <w:sz w:val="22"/>
        </w:rPr>
        <w:t xml:space="preserve">nactive </w:t>
      </w:r>
      <w:r w:rsidR="000D630C">
        <w:rPr>
          <w:rFonts w:ascii="Arial" w:hAnsi="Arial"/>
          <w:sz w:val="22"/>
        </w:rPr>
        <w:t>M</w:t>
      </w:r>
      <w:r w:rsidR="000D630C" w:rsidRPr="000D630C">
        <w:rPr>
          <w:rFonts w:ascii="Arial" w:hAnsi="Arial"/>
          <w:sz w:val="22"/>
        </w:rPr>
        <w:t xml:space="preserve">ode UE </w:t>
      </w:r>
      <w:r w:rsidR="000D630C">
        <w:rPr>
          <w:rFonts w:ascii="Arial" w:hAnsi="Arial"/>
          <w:sz w:val="22"/>
        </w:rPr>
        <w:t>P</w:t>
      </w:r>
      <w:r w:rsidR="000D630C" w:rsidRPr="000D630C">
        <w:rPr>
          <w:rFonts w:ascii="Arial" w:hAnsi="Arial"/>
          <w:sz w:val="22"/>
        </w:rPr>
        <w:t xml:space="preserve">ower </w:t>
      </w:r>
      <w:r w:rsidR="000D630C">
        <w:rPr>
          <w:rFonts w:ascii="Arial" w:hAnsi="Arial"/>
          <w:sz w:val="22"/>
        </w:rPr>
        <w:t>S</w:t>
      </w:r>
      <w:r w:rsidR="000D630C" w:rsidRPr="000D630C">
        <w:rPr>
          <w:rFonts w:ascii="Arial" w:hAnsi="Arial"/>
          <w:sz w:val="22"/>
        </w:rPr>
        <w:t>aving</w:t>
      </w:r>
      <w:r w:rsidR="00280C5E" w:rsidRPr="00280C5E">
        <w:rPr>
          <w:rFonts w:ascii="Arial" w:hAnsi="Arial"/>
          <w:sz w:val="22"/>
        </w:rPr>
        <w:t xml:space="preserve"> </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1A2F69AF" w14:textId="1CFB58D9" w:rsidR="00D041F1" w:rsidRDefault="0012134A" w:rsidP="00E105CC">
      <w:pPr>
        <w:spacing w:after="0"/>
      </w:pPr>
      <w:r w:rsidRPr="0012134A">
        <w:t xml:space="preserve">In </w:t>
      </w:r>
      <w:r w:rsidR="00A17D9A" w:rsidRPr="00F85496">
        <w:t xml:space="preserve">this </w:t>
      </w:r>
      <w:r w:rsidR="00C77DF1">
        <w:rPr>
          <w:rFonts w:hint="eastAsia"/>
          <w:lang w:eastAsia="zh-CN"/>
        </w:rPr>
        <w:t>paper</w:t>
      </w:r>
      <w:r w:rsidR="00A17D9A" w:rsidRPr="00F85496">
        <w:t xml:space="preserve">, </w:t>
      </w:r>
      <w:r w:rsidR="00A17D9A">
        <w:t>we</w:t>
      </w:r>
      <w:r w:rsidR="006704A0">
        <w:t xml:space="preserve"> will</w:t>
      </w:r>
      <w:r w:rsidR="00A17D9A">
        <w:t xml:space="preserve"> </w:t>
      </w:r>
      <w:r w:rsidR="000A34DE">
        <w:t>discuss</w:t>
      </w:r>
      <w:r w:rsidR="006B19B4">
        <w:t xml:space="preserve"> the </w:t>
      </w:r>
      <w:r w:rsidR="00F330A9">
        <w:t>maintenance</w:t>
      </w:r>
      <w:r w:rsidR="005764BB">
        <w:t xml:space="preserve"> </w:t>
      </w:r>
      <w:r w:rsidR="006B19B4">
        <w:t>issues of</w:t>
      </w:r>
      <w:r w:rsidR="00123B7D">
        <w:t xml:space="preserve"> </w:t>
      </w:r>
      <w:r w:rsidR="00402474">
        <w:t>NR Rel-17 idle and inactive mode UE power saving techniques</w:t>
      </w:r>
      <w:r w:rsidR="004D504B">
        <w:t>.</w:t>
      </w:r>
    </w:p>
    <w:p w14:paraId="476003E2" w14:textId="62543106" w:rsidR="00E80DE0" w:rsidRDefault="00AA4230" w:rsidP="00E80DE0">
      <w:pPr>
        <w:pStyle w:val="Heading1"/>
        <w:rPr>
          <w:lang w:val="en-US"/>
        </w:rPr>
      </w:pPr>
      <w:r>
        <w:rPr>
          <w:lang w:val="en-US" w:eastAsia="zh-CN"/>
        </w:rPr>
        <w:t>TRS Availability Indication</w:t>
      </w:r>
    </w:p>
    <w:p w14:paraId="34B1B93C" w14:textId="58C55283" w:rsidR="004D57FF" w:rsidRDefault="006F351C" w:rsidP="009A6393">
      <w:r>
        <w:t xml:space="preserve">It was agreed in the RAN1 #107-bis-e meeting that when </w:t>
      </w:r>
      <w:r w:rsidR="006F621C">
        <w:t>SIB configures</w:t>
      </w:r>
      <w:r>
        <w:t xml:space="preserve"> idle and inactive TRS, </w:t>
      </w:r>
      <w:r w:rsidR="00901289" w:rsidRPr="00901289">
        <w:t xml:space="preserve">TRS availability indication field is present in </w:t>
      </w:r>
      <w:r w:rsidR="0087635E">
        <w:t>the PEI PDCCH</w:t>
      </w:r>
      <w:r w:rsidR="00901289" w:rsidRPr="00901289">
        <w:t xml:space="preserve"> if configured and</w:t>
      </w:r>
      <w:r w:rsidR="004139BF">
        <w:t xml:space="preserve"> in</w:t>
      </w:r>
      <w:r w:rsidR="0087635E">
        <w:t xml:space="preserve"> the</w:t>
      </w:r>
      <w:r w:rsidR="00901289" w:rsidRPr="00901289">
        <w:t xml:space="preserve"> </w:t>
      </w:r>
      <w:r w:rsidR="0087635E">
        <w:t>paging PDCCH</w:t>
      </w:r>
      <w:r w:rsidR="0081305E">
        <w:t xml:space="preserve"> </w:t>
      </w:r>
      <w:r w:rsidR="0081305E">
        <w:fldChar w:fldCharType="begin"/>
      </w:r>
      <w:r w:rsidR="0081305E">
        <w:instrText xml:space="preserve"> REF _Ref101084321 \r \h </w:instrText>
      </w:r>
      <w:r w:rsidR="0081305E">
        <w:fldChar w:fldCharType="separate"/>
      </w:r>
      <w:r w:rsidR="0081305E">
        <w:t>[1]</w:t>
      </w:r>
      <w:r w:rsidR="0081305E">
        <w:fldChar w:fldCharType="end"/>
      </w:r>
      <w:r w:rsidR="0087635E">
        <w:t xml:space="preserve">. </w:t>
      </w:r>
      <w:r w:rsidR="00BB315D">
        <w:t>Monitoring of t</w:t>
      </w:r>
      <w:r w:rsidR="00771B67">
        <w:t xml:space="preserve">he paging PDCCH is </w:t>
      </w:r>
      <w:r w:rsidR="007B30E7">
        <w:t xml:space="preserve">a </w:t>
      </w:r>
      <w:r w:rsidR="00771B67">
        <w:t xml:space="preserve">mandatory </w:t>
      </w:r>
      <w:r w:rsidR="00BB315D">
        <w:t>feature supported by legacy UEs</w:t>
      </w:r>
      <w:r w:rsidR="002968E2">
        <w:t xml:space="preserve"> before Rel-17</w:t>
      </w:r>
      <w:r w:rsidR="00BB315D">
        <w:t xml:space="preserve">. </w:t>
      </w:r>
      <w:r w:rsidR="00060DF5">
        <w:t xml:space="preserve">The </w:t>
      </w:r>
      <w:r w:rsidR="00C85652">
        <w:t xml:space="preserve">short message indicator in </w:t>
      </w:r>
      <w:r w:rsidR="00AB5A5C">
        <w:t>paging PDCCH indicates whether there is a paging information, short message or both for the UE to receive.</w:t>
      </w:r>
      <w:r w:rsidR="00222EFF">
        <w:t xml:space="preserve"> It is possible that network </w:t>
      </w:r>
      <w:r w:rsidR="003C3986">
        <w:t xml:space="preserve">may set the short message indicator field to ‘00’ for </w:t>
      </w:r>
      <w:r w:rsidR="00210D83">
        <w:t>additional</w:t>
      </w:r>
      <w:r w:rsidR="005D3EDF">
        <w:t xml:space="preserve"> use cases</w:t>
      </w:r>
      <w:r w:rsidR="00E34AA4">
        <w:t xml:space="preserve"> such as the Rel-17 TRS availability indication</w:t>
      </w:r>
      <w:r w:rsidR="005D3EDF">
        <w:t xml:space="preserve">. </w:t>
      </w:r>
    </w:p>
    <w:p w14:paraId="64049DA9" w14:textId="1664C4CF" w:rsidR="00D57FDC" w:rsidRPr="002625EB" w:rsidRDefault="00D57FDC" w:rsidP="00D57FDC">
      <w:pPr>
        <w:pStyle w:val="TH"/>
        <w:rPr>
          <w:lang w:eastAsia="zh-CN"/>
        </w:rPr>
      </w:pPr>
      <w:r w:rsidRPr="002625EB">
        <w:t xml:space="preserve">Table </w:t>
      </w:r>
      <w:r w:rsidRPr="002625EB">
        <w:rPr>
          <w:rFonts w:hint="eastAsia"/>
          <w:lang w:eastAsia="zh-CN"/>
        </w:rPr>
        <w:t>7.3.1.2.1</w:t>
      </w:r>
      <w:r w:rsidRPr="002625EB">
        <w:t>-</w:t>
      </w:r>
      <w:r w:rsidRPr="002625EB">
        <w:rPr>
          <w:rFonts w:hint="eastAsia"/>
          <w:lang w:eastAsia="zh-CN"/>
        </w:rPr>
        <w:t>1: Short Message indicator</w:t>
      </w:r>
      <w:r w:rsidR="00CC502E">
        <w:rPr>
          <w:lang w:eastAsia="zh-CN"/>
        </w:rPr>
        <w:t xml:space="preserve"> [TS 38.212]</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D57FDC" w:rsidRPr="002625EB" w14:paraId="1DA698FB" w14:textId="77777777" w:rsidTr="00536530">
        <w:trPr>
          <w:trHeight w:val="424"/>
          <w:jc w:val="center"/>
        </w:trPr>
        <w:tc>
          <w:tcPr>
            <w:tcW w:w="1129" w:type="dxa"/>
            <w:shd w:val="clear" w:color="auto" w:fill="D9D9D9"/>
            <w:vAlign w:val="center"/>
          </w:tcPr>
          <w:p w14:paraId="202148BE" w14:textId="77777777" w:rsidR="00D57FDC" w:rsidRPr="002625EB" w:rsidRDefault="00D57FDC" w:rsidP="00536530">
            <w:pPr>
              <w:pStyle w:val="TAH"/>
              <w:rPr>
                <w:lang w:eastAsia="zh-CN"/>
              </w:rPr>
            </w:pPr>
            <w:r w:rsidRPr="002625EB">
              <w:rPr>
                <w:lang w:eastAsia="zh-CN"/>
              </w:rPr>
              <w:t>Bit field</w:t>
            </w:r>
          </w:p>
        </w:tc>
        <w:tc>
          <w:tcPr>
            <w:tcW w:w="6800" w:type="dxa"/>
            <w:shd w:val="clear" w:color="auto" w:fill="D9D9D9"/>
            <w:vAlign w:val="center"/>
          </w:tcPr>
          <w:p w14:paraId="37F06D87" w14:textId="77777777" w:rsidR="00D57FDC" w:rsidRPr="002625EB" w:rsidRDefault="00D57FDC" w:rsidP="00536530">
            <w:pPr>
              <w:pStyle w:val="TAH"/>
              <w:rPr>
                <w:lang w:eastAsia="zh-CN"/>
              </w:rPr>
            </w:pPr>
            <w:r w:rsidRPr="002625EB">
              <w:rPr>
                <w:lang w:eastAsia="zh-CN"/>
              </w:rPr>
              <w:t>Short Message indicator</w:t>
            </w:r>
          </w:p>
        </w:tc>
      </w:tr>
      <w:tr w:rsidR="00D57FDC" w:rsidRPr="002625EB" w14:paraId="7361C871" w14:textId="77777777" w:rsidTr="00536530">
        <w:trPr>
          <w:jc w:val="center"/>
        </w:trPr>
        <w:tc>
          <w:tcPr>
            <w:tcW w:w="1129" w:type="dxa"/>
            <w:shd w:val="clear" w:color="auto" w:fill="D9D9D9"/>
          </w:tcPr>
          <w:p w14:paraId="1B478CDC" w14:textId="77777777" w:rsidR="00D57FDC" w:rsidRPr="002625EB" w:rsidRDefault="00D57FDC" w:rsidP="00536530">
            <w:pPr>
              <w:pStyle w:val="TAC"/>
              <w:rPr>
                <w:lang w:eastAsia="zh-CN"/>
              </w:rPr>
            </w:pPr>
            <w:r w:rsidRPr="002625EB">
              <w:rPr>
                <w:rFonts w:hint="eastAsia"/>
                <w:lang w:eastAsia="zh-CN"/>
              </w:rPr>
              <w:t>00</w:t>
            </w:r>
          </w:p>
        </w:tc>
        <w:tc>
          <w:tcPr>
            <w:tcW w:w="6800" w:type="dxa"/>
            <w:shd w:val="clear" w:color="auto" w:fill="auto"/>
          </w:tcPr>
          <w:p w14:paraId="22F385D4" w14:textId="77777777" w:rsidR="00D57FDC" w:rsidRPr="002625EB" w:rsidRDefault="00D57FDC" w:rsidP="00536530">
            <w:pPr>
              <w:pStyle w:val="TAC"/>
              <w:rPr>
                <w:lang w:eastAsia="zh-CN"/>
              </w:rPr>
            </w:pPr>
            <w:r w:rsidRPr="002625EB">
              <w:rPr>
                <w:lang w:eastAsia="zh-CN"/>
              </w:rPr>
              <w:t>R</w:t>
            </w:r>
            <w:r w:rsidRPr="002625EB">
              <w:rPr>
                <w:rFonts w:hint="eastAsia"/>
                <w:lang w:eastAsia="zh-CN"/>
              </w:rPr>
              <w:t>eserved</w:t>
            </w:r>
          </w:p>
        </w:tc>
      </w:tr>
      <w:tr w:rsidR="00D57FDC" w:rsidRPr="002625EB" w14:paraId="492E3839" w14:textId="77777777" w:rsidTr="00536530">
        <w:trPr>
          <w:jc w:val="center"/>
        </w:trPr>
        <w:tc>
          <w:tcPr>
            <w:tcW w:w="1129" w:type="dxa"/>
            <w:shd w:val="clear" w:color="auto" w:fill="D9D9D9"/>
          </w:tcPr>
          <w:p w14:paraId="09537A42" w14:textId="77777777" w:rsidR="00D57FDC" w:rsidRPr="002625EB" w:rsidRDefault="00D57FDC" w:rsidP="00536530">
            <w:pPr>
              <w:pStyle w:val="TAC"/>
              <w:rPr>
                <w:lang w:eastAsia="zh-CN"/>
              </w:rPr>
            </w:pPr>
            <w:r w:rsidRPr="002625EB">
              <w:rPr>
                <w:rFonts w:hint="eastAsia"/>
                <w:lang w:eastAsia="zh-CN"/>
              </w:rPr>
              <w:t>01</w:t>
            </w:r>
          </w:p>
        </w:tc>
        <w:tc>
          <w:tcPr>
            <w:tcW w:w="6800" w:type="dxa"/>
            <w:shd w:val="clear" w:color="auto" w:fill="auto"/>
          </w:tcPr>
          <w:p w14:paraId="6285FC55" w14:textId="77777777" w:rsidR="00D57FDC" w:rsidRPr="002625EB" w:rsidRDefault="00D57FDC" w:rsidP="00536530">
            <w:pPr>
              <w:pStyle w:val="TAC"/>
              <w:rPr>
                <w:lang w:eastAsia="zh-CN"/>
              </w:rPr>
            </w:pPr>
            <w:r w:rsidRPr="002625EB">
              <w:rPr>
                <w:lang w:eastAsia="zh-CN"/>
              </w:rPr>
              <w:t>O</w:t>
            </w:r>
            <w:r w:rsidRPr="002625EB">
              <w:rPr>
                <w:rFonts w:hint="eastAsia"/>
                <w:lang w:eastAsia="zh-CN"/>
              </w:rPr>
              <w:t>nly scheduling information for Paging is present in the DCI</w:t>
            </w:r>
          </w:p>
        </w:tc>
      </w:tr>
      <w:tr w:rsidR="00D57FDC" w:rsidRPr="002625EB" w14:paraId="3F699363" w14:textId="77777777" w:rsidTr="00536530">
        <w:trPr>
          <w:jc w:val="center"/>
        </w:trPr>
        <w:tc>
          <w:tcPr>
            <w:tcW w:w="1129" w:type="dxa"/>
            <w:shd w:val="clear" w:color="auto" w:fill="D9D9D9"/>
          </w:tcPr>
          <w:p w14:paraId="0D2FB967" w14:textId="77777777" w:rsidR="00D57FDC" w:rsidRPr="002625EB" w:rsidRDefault="00D57FDC" w:rsidP="00536530">
            <w:pPr>
              <w:pStyle w:val="TAC"/>
              <w:rPr>
                <w:lang w:eastAsia="zh-CN"/>
              </w:rPr>
            </w:pPr>
            <w:r w:rsidRPr="002625EB">
              <w:rPr>
                <w:rFonts w:hint="eastAsia"/>
                <w:lang w:eastAsia="zh-CN"/>
              </w:rPr>
              <w:t>10</w:t>
            </w:r>
          </w:p>
        </w:tc>
        <w:tc>
          <w:tcPr>
            <w:tcW w:w="6800" w:type="dxa"/>
            <w:shd w:val="clear" w:color="auto" w:fill="auto"/>
          </w:tcPr>
          <w:p w14:paraId="7AE85DF6" w14:textId="77777777" w:rsidR="00D57FDC" w:rsidRPr="002625EB" w:rsidRDefault="00D57FDC" w:rsidP="00536530">
            <w:pPr>
              <w:pStyle w:val="TAC"/>
              <w:rPr>
                <w:lang w:eastAsia="zh-CN"/>
              </w:rPr>
            </w:pPr>
            <w:r w:rsidRPr="002625EB">
              <w:rPr>
                <w:rFonts w:hint="eastAsia"/>
                <w:lang w:eastAsia="zh-CN"/>
              </w:rPr>
              <w:t>Only short message is present in the DCI</w:t>
            </w:r>
          </w:p>
        </w:tc>
      </w:tr>
      <w:tr w:rsidR="00D57FDC" w:rsidRPr="002625EB" w14:paraId="61ABC26F" w14:textId="77777777" w:rsidTr="00536530">
        <w:trPr>
          <w:jc w:val="center"/>
        </w:trPr>
        <w:tc>
          <w:tcPr>
            <w:tcW w:w="1129" w:type="dxa"/>
            <w:shd w:val="clear" w:color="auto" w:fill="D9D9D9"/>
          </w:tcPr>
          <w:p w14:paraId="504821E5" w14:textId="77777777" w:rsidR="00D57FDC" w:rsidRPr="002625EB" w:rsidRDefault="00D57FDC" w:rsidP="00536530">
            <w:pPr>
              <w:pStyle w:val="TAC"/>
              <w:rPr>
                <w:lang w:eastAsia="zh-CN"/>
              </w:rPr>
            </w:pPr>
            <w:r w:rsidRPr="002625EB">
              <w:rPr>
                <w:rFonts w:hint="eastAsia"/>
                <w:lang w:eastAsia="zh-CN"/>
              </w:rPr>
              <w:t>11</w:t>
            </w:r>
          </w:p>
        </w:tc>
        <w:tc>
          <w:tcPr>
            <w:tcW w:w="6800" w:type="dxa"/>
            <w:shd w:val="clear" w:color="auto" w:fill="auto"/>
          </w:tcPr>
          <w:p w14:paraId="7A491B5D" w14:textId="77777777" w:rsidR="00D57FDC" w:rsidRPr="002625EB" w:rsidRDefault="00D57FDC" w:rsidP="00536530">
            <w:pPr>
              <w:pStyle w:val="TAC"/>
              <w:rPr>
                <w:lang w:eastAsia="zh-CN"/>
              </w:rPr>
            </w:pPr>
            <w:r w:rsidRPr="002625EB">
              <w:rPr>
                <w:rFonts w:hint="eastAsia"/>
                <w:lang w:eastAsia="zh-CN"/>
              </w:rPr>
              <w:t>Both scheduling information for Paging and short message are present in the DCI</w:t>
            </w:r>
          </w:p>
        </w:tc>
      </w:tr>
    </w:tbl>
    <w:p w14:paraId="510FBE4E" w14:textId="77777777" w:rsidR="00D57FDC" w:rsidRDefault="00D57FDC" w:rsidP="009A6393"/>
    <w:p w14:paraId="2A1E5DE1" w14:textId="75B88C79" w:rsidR="00E90F6F" w:rsidRDefault="0038619F" w:rsidP="009A6393">
      <w:r>
        <w:t>In theory,</w:t>
      </w:r>
      <w:r w:rsidR="00BF6A7C">
        <w:t xml:space="preserve"> legacy UEs should be able to handle the</w:t>
      </w:r>
      <w:r>
        <w:t xml:space="preserve"> TRS availability indication in </w:t>
      </w:r>
      <w:r w:rsidR="00EB7E52">
        <w:t xml:space="preserve">a </w:t>
      </w:r>
      <w:r>
        <w:t>paging PDCCH with short message indicator equal to ‘00’. In practice, excessive transmissions of paging PDCCH with short message indicator equal to ‘00’ may have an impact to legacy UE’s operation. For example, it is possible that the UE implementation prunes the decoded PDCCH payload in software after the decoded PDCCH candidate passes CRC in hardware. For a legacy UE, if short message indicator is equal to ‘00’, discarding such a PDCCH candidate results in a non-negligible operating cost</w:t>
      </w:r>
      <w:r w:rsidR="00D445E4">
        <w:t xml:space="preserve"> due to the additional communication between hardware and software</w:t>
      </w:r>
      <w:r>
        <w:t>.</w:t>
      </w:r>
    </w:p>
    <w:p w14:paraId="1F252D2E" w14:textId="292D2370" w:rsidR="003E5446" w:rsidRPr="000F30E7" w:rsidRDefault="00BA1CCA" w:rsidP="00D6095C">
      <w:pPr>
        <w:rPr>
          <w:b/>
          <w:bCs/>
        </w:rPr>
      </w:pPr>
      <w:bookmarkStart w:id="1" w:name="o1"/>
      <w:r w:rsidRPr="00E30631">
        <w:rPr>
          <w:b/>
          <w:bCs/>
        </w:rPr>
        <w:t xml:space="preserve">Observation </w:t>
      </w:r>
      <w:r w:rsidRPr="00E30631">
        <w:rPr>
          <w:b/>
          <w:bCs/>
        </w:rPr>
        <w:fldChar w:fldCharType="begin"/>
      </w:r>
      <w:r w:rsidRPr="00E30631">
        <w:rPr>
          <w:b/>
          <w:bCs/>
        </w:rPr>
        <w:instrText xml:space="preserve"> SEQ Observation \* ARABIC </w:instrText>
      </w:r>
      <w:r w:rsidRPr="00E30631">
        <w:rPr>
          <w:b/>
          <w:bCs/>
        </w:rPr>
        <w:fldChar w:fldCharType="separate"/>
      </w:r>
      <w:r w:rsidR="00437A9D">
        <w:rPr>
          <w:b/>
          <w:bCs/>
          <w:noProof/>
        </w:rPr>
        <w:t>1</w:t>
      </w:r>
      <w:r w:rsidRPr="00E30631">
        <w:rPr>
          <w:b/>
          <w:bCs/>
        </w:rPr>
        <w:fldChar w:fldCharType="end"/>
      </w:r>
      <w:r w:rsidRPr="00E30631">
        <w:rPr>
          <w:b/>
          <w:bCs/>
        </w:rPr>
        <w:t>:</w:t>
      </w:r>
      <w:r>
        <w:rPr>
          <w:b/>
          <w:bCs/>
        </w:rPr>
        <w:t xml:space="preserve"> </w:t>
      </w:r>
      <w:r w:rsidR="00DB06C5">
        <w:rPr>
          <w:b/>
          <w:bCs/>
        </w:rPr>
        <w:t>Ex</w:t>
      </w:r>
      <w:r w:rsidR="00E737E5">
        <w:rPr>
          <w:b/>
          <w:bCs/>
        </w:rPr>
        <w:t xml:space="preserve">cessive transmissions of paging PDCCH with short message indicator equal to ‘00’ </w:t>
      </w:r>
      <w:r w:rsidR="004C4117">
        <w:rPr>
          <w:b/>
          <w:bCs/>
        </w:rPr>
        <w:t>causes</w:t>
      </w:r>
      <w:r w:rsidR="00E737E5">
        <w:rPr>
          <w:b/>
          <w:bCs/>
        </w:rPr>
        <w:t xml:space="preserve"> higher operating cost of a legacy UE</w:t>
      </w:r>
      <w:r w:rsidR="00DB4C27">
        <w:rPr>
          <w:b/>
          <w:bCs/>
        </w:rPr>
        <w:t>.</w:t>
      </w:r>
    </w:p>
    <w:bookmarkEnd w:id="1"/>
    <w:p w14:paraId="25B3F536" w14:textId="6AC8027D" w:rsidR="005B38B5" w:rsidRDefault="002F46C1" w:rsidP="00017761">
      <w:pPr>
        <w:rPr>
          <w:lang w:val="en-GB"/>
        </w:rPr>
      </w:pPr>
      <w:r>
        <w:rPr>
          <w:lang w:val="en-GB"/>
        </w:rPr>
        <w:t xml:space="preserve">In the meanwhile, </w:t>
      </w:r>
      <w:r w:rsidR="0079731C">
        <w:rPr>
          <w:lang w:val="en-GB"/>
        </w:rPr>
        <w:t xml:space="preserve">according to </w:t>
      </w:r>
      <w:r w:rsidR="007771B0">
        <w:rPr>
          <w:lang w:val="en-GB"/>
        </w:rPr>
        <w:t>the RAN1 #</w:t>
      </w:r>
      <w:r w:rsidR="00503816">
        <w:rPr>
          <w:lang w:val="en-GB"/>
        </w:rPr>
        <w:t>107-bis-e agreement</w:t>
      </w:r>
      <w:r w:rsidR="0079731C">
        <w:rPr>
          <w:lang w:val="en-GB"/>
        </w:rPr>
        <w:t xml:space="preserve">, </w:t>
      </w:r>
      <w:r>
        <w:rPr>
          <w:lang w:val="en-GB"/>
        </w:rPr>
        <w:t xml:space="preserve">when </w:t>
      </w:r>
      <w:r w:rsidR="00A95F6E">
        <w:rPr>
          <w:lang w:val="en-GB"/>
        </w:rPr>
        <w:t xml:space="preserve">a TRS availability indication bit is set to ‘0’, </w:t>
      </w:r>
      <w:r w:rsidR="006A2F5D">
        <w:rPr>
          <w:lang w:val="en-GB"/>
        </w:rPr>
        <w:t>the bit does not carry information about the presence of the associated TRS resources</w:t>
      </w:r>
      <w:r w:rsidR="0081305E">
        <w:rPr>
          <w:lang w:val="en-GB"/>
        </w:rPr>
        <w:t xml:space="preserve"> </w:t>
      </w:r>
      <w:r w:rsidR="0081305E">
        <w:rPr>
          <w:lang w:val="en-GB"/>
        </w:rPr>
        <w:fldChar w:fldCharType="begin"/>
      </w:r>
      <w:r w:rsidR="0081305E">
        <w:rPr>
          <w:lang w:val="en-GB"/>
        </w:rPr>
        <w:instrText xml:space="preserve"> REF _Ref101084321 \r \h </w:instrText>
      </w:r>
      <w:r w:rsidR="0081305E">
        <w:rPr>
          <w:lang w:val="en-GB"/>
        </w:rPr>
      </w:r>
      <w:r w:rsidR="0081305E">
        <w:rPr>
          <w:lang w:val="en-GB"/>
        </w:rPr>
        <w:fldChar w:fldCharType="separate"/>
      </w:r>
      <w:r w:rsidR="0081305E">
        <w:rPr>
          <w:lang w:val="en-GB"/>
        </w:rPr>
        <w:t>[1]</w:t>
      </w:r>
      <w:r w:rsidR="0081305E">
        <w:rPr>
          <w:lang w:val="en-GB"/>
        </w:rPr>
        <w:fldChar w:fldCharType="end"/>
      </w:r>
      <w:r w:rsidR="00CA411F">
        <w:rPr>
          <w:lang w:val="en-GB"/>
        </w:rPr>
        <w:t>.</w:t>
      </w:r>
      <w:r w:rsidR="00AE093A">
        <w:rPr>
          <w:lang w:val="en-GB"/>
        </w:rPr>
        <w:t xml:space="preserve"> Then, </w:t>
      </w:r>
      <w:r w:rsidR="00BC6049">
        <w:rPr>
          <w:lang w:val="en-GB"/>
        </w:rPr>
        <w:t>if short message indicator is equal to ‘00’ and the TRS availability indication field contain</w:t>
      </w:r>
      <w:r w:rsidR="00FE0C15">
        <w:rPr>
          <w:lang w:val="en-GB"/>
        </w:rPr>
        <w:t>s</w:t>
      </w:r>
      <w:r w:rsidR="00BC6049">
        <w:rPr>
          <w:lang w:val="en-GB"/>
        </w:rPr>
        <w:t xml:space="preserve"> </w:t>
      </w:r>
      <w:r w:rsidR="00FE0C15">
        <w:rPr>
          <w:lang w:val="en-GB"/>
        </w:rPr>
        <w:t xml:space="preserve">only </w:t>
      </w:r>
      <w:r w:rsidR="00BC6049">
        <w:rPr>
          <w:lang w:val="en-GB"/>
        </w:rPr>
        <w:t xml:space="preserve">0 bits, </w:t>
      </w:r>
      <w:r w:rsidR="00AE093A">
        <w:rPr>
          <w:lang w:val="en-GB"/>
        </w:rPr>
        <w:t>the paging PDCCH does not carry any information for</w:t>
      </w:r>
      <w:r w:rsidR="002F112D">
        <w:rPr>
          <w:lang w:val="en-GB"/>
        </w:rPr>
        <w:t xml:space="preserve"> either</w:t>
      </w:r>
      <w:r w:rsidR="00AE093A">
        <w:rPr>
          <w:lang w:val="en-GB"/>
        </w:rPr>
        <w:t xml:space="preserve"> legacy operation (i.e., paging, short message) or </w:t>
      </w:r>
      <w:r w:rsidR="00801D1E">
        <w:rPr>
          <w:lang w:val="en-GB"/>
        </w:rPr>
        <w:t xml:space="preserve">for TRS availability indication. </w:t>
      </w:r>
      <w:r w:rsidR="00D371CE">
        <w:rPr>
          <w:lang w:val="en-GB"/>
        </w:rPr>
        <w:t xml:space="preserve">Then network should </w:t>
      </w:r>
      <w:r w:rsidR="00A5116D">
        <w:rPr>
          <w:lang w:val="en-GB"/>
        </w:rPr>
        <w:t>not</w:t>
      </w:r>
      <w:r w:rsidR="00D371CE">
        <w:rPr>
          <w:lang w:val="en-GB"/>
        </w:rPr>
        <w:t xml:space="preserve"> transmit such a paging PDCCH without carrying any information to </w:t>
      </w:r>
      <w:r w:rsidR="00A5116D">
        <w:rPr>
          <w:lang w:val="en-GB"/>
        </w:rPr>
        <w:t xml:space="preserve">avoid </w:t>
      </w:r>
      <w:r w:rsidR="00AD16DE">
        <w:rPr>
          <w:lang w:val="en-GB"/>
        </w:rPr>
        <w:t xml:space="preserve">unnecessary UE </w:t>
      </w:r>
      <w:r w:rsidR="00774C73">
        <w:rPr>
          <w:lang w:val="en-GB"/>
        </w:rPr>
        <w:t>operating cost</w:t>
      </w:r>
      <w:r w:rsidR="00D371CE">
        <w:rPr>
          <w:lang w:val="en-GB"/>
        </w:rPr>
        <w:t xml:space="preserve">. </w:t>
      </w:r>
      <w:r w:rsidR="00987BD7">
        <w:rPr>
          <w:lang w:val="en-GB"/>
        </w:rPr>
        <w:t>Based on this, we make the following proposal</w:t>
      </w:r>
      <w:r w:rsidR="00AA7BF4">
        <w:rPr>
          <w:lang w:val="en-GB"/>
        </w:rPr>
        <w:t xml:space="preserve"> for TRS availability carried by paging PDCCH</w:t>
      </w:r>
      <w:r w:rsidR="00987BD7">
        <w:rPr>
          <w:lang w:val="en-GB"/>
        </w:rPr>
        <w:t>.</w:t>
      </w:r>
    </w:p>
    <w:p w14:paraId="683E18C7" w14:textId="6FACAC97" w:rsidR="00997CDD" w:rsidRDefault="00997CDD" w:rsidP="00997CDD">
      <w:pPr>
        <w:rPr>
          <w:lang w:val="en-GB"/>
        </w:rPr>
      </w:pPr>
      <w:bookmarkStart w:id="2"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1</w:t>
      </w:r>
      <w:r w:rsidRPr="00F154FB">
        <w:rPr>
          <w:b/>
          <w:bCs/>
        </w:rPr>
        <w:fldChar w:fldCharType="end"/>
      </w:r>
      <w:r w:rsidRPr="00F154FB">
        <w:rPr>
          <w:b/>
          <w:bCs/>
        </w:rPr>
        <w:t>:</w:t>
      </w:r>
      <w:r>
        <w:rPr>
          <w:b/>
          <w:bCs/>
        </w:rPr>
        <w:t xml:space="preserve"> </w:t>
      </w:r>
      <w:r w:rsidR="006E0983">
        <w:rPr>
          <w:b/>
          <w:bCs/>
        </w:rPr>
        <w:t>If network configures the Rel-17 TRS availability indicator in paging PDCCH</w:t>
      </w:r>
      <w:r w:rsidRPr="00A4485F">
        <w:rPr>
          <w:b/>
          <w:bCs/>
        </w:rPr>
        <w:t xml:space="preserve">, UE does not expect TRS availability </w:t>
      </w:r>
      <w:r w:rsidR="004D1293">
        <w:rPr>
          <w:b/>
          <w:bCs/>
        </w:rPr>
        <w:t xml:space="preserve">indication field contain all 0 bits </w:t>
      </w:r>
      <w:r w:rsidRPr="00A4485F">
        <w:rPr>
          <w:b/>
          <w:bCs/>
        </w:rPr>
        <w:t xml:space="preserve">in </w:t>
      </w:r>
      <w:r w:rsidR="003C1342">
        <w:rPr>
          <w:b/>
          <w:bCs/>
        </w:rPr>
        <w:t xml:space="preserve">the </w:t>
      </w:r>
      <w:r w:rsidRPr="00A4485F">
        <w:rPr>
          <w:b/>
          <w:bCs/>
        </w:rPr>
        <w:t xml:space="preserve">paging PDCCH </w:t>
      </w:r>
      <w:r w:rsidR="003115E0">
        <w:rPr>
          <w:b/>
          <w:bCs/>
        </w:rPr>
        <w:t>if</w:t>
      </w:r>
      <w:r w:rsidR="00D46003">
        <w:rPr>
          <w:b/>
          <w:bCs/>
        </w:rPr>
        <w:t xml:space="preserve"> the</w:t>
      </w:r>
      <w:r w:rsidRPr="00A4485F">
        <w:rPr>
          <w:b/>
          <w:bCs/>
        </w:rPr>
        <w:t xml:space="preserve"> short message indicator is ‘00’</w:t>
      </w:r>
      <w:r>
        <w:rPr>
          <w:b/>
          <w:bCs/>
        </w:rPr>
        <w:t>.</w:t>
      </w:r>
    </w:p>
    <w:bookmarkEnd w:id="2"/>
    <w:p w14:paraId="300934FE" w14:textId="77777777" w:rsidR="00997CDD" w:rsidRDefault="00997CDD" w:rsidP="00017761">
      <w:pPr>
        <w:rPr>
          <w:lang w:val="en-GB"/>
        </w:rPr>
      </w:pPr>
    </w:p>
    <w:tbl>
      <w:tblPr>
        <w:tblStyle w:val="TableGrid"/>
        <w:tblW w:w="0" w:type="auto"/>
        <w:tblLook w:val="04A0" w:firstRow="1" w:lastRow="0" w:firstColumn="1" w:lastColumn="0" w:noHBand="0" w:noVBand="1"/>
      </w:tblPr>
      <w:tblGrid>
        <w:gridCol w:w="9962"/>
      </w:tblGrid>
      <w:tr w:rsidR="00A16A90" w14:paraId="1346A0F6" w14:textId="77777777" w:rsidTr="00A16A90">
        <w:tc>
          <w:tcPr>
            <w:tcW w:w="9962" w:type="dxa"/>
          </w:tcPr>
          <w:p w14:paraId="1799CC0C" w14:textId="77777777" w:rsidR="00A16A90" w:rsidRPr="00816395" w:rsidRDefault="00A16A90" w:rsidP="00A16A90">
            <w:pPr>
              <w:snapToGrid w:val="0"/>
              <w:rPr>
                <w:rFonts w:eastAsia="Gulim"/>
                <w:b/>
                <w:bCs/>
                <w:color w:val="000000"/>
                <w:highlight w:val="green"/>
              </w:rPr>
            </w:pPr>
            <w:r w:rsidRPr="00816395">
              <w:rPr>
                <w:rFonts w:eastAsia="Gulim"/>
                <w:b/>
                <w:bCs/>
                <w:color w:val="000000"/>
                <w:highlight w:val="green"/>
              </w:rPr>
              <w:t>Agreement</w:t>
            </w:r>
          </w:p>
          <w:p w14:paraId="02359CB3" w14:textId="77777777" w:rsidR="00A16A90" w:rsidRPr="005149A0" w:rsidRDefault="00A16A90" w:rsidP="00A16A90">
            <w:pPr>
              <w:rPr>
                <w:rFonts w:eastAsia="Malgun Gothic"/>
                <w:bCs/>
              </w:rPr>
            </w:pPr>
            <w:r w:rsidRPr="00B84DFF">
              <w:t xml:space="preserve">UE can receive </w:t>
            </w:r>
            <w:r w:rsidRPr="00F859A4">
              <w:rPr>
                <w:color w:val="FF0000"/>
                <w:u w:val="single"/>
              </w:rPr>
              <w:t>L1 based signaling for</w:t>
            </w:r>
            <w:r w:rsidRPr="00F859A4">
              <w:rPr>
                <w:color w:val="FF0000"/>
              </w:rPr>
              <w:t xml:space="preserve"> </w:t>
            </w:r>
            <w:r w:rsidRPr="00B84DFF">
              <w:t xml:space="preserve">TRS availability indication before the expiration/end of validity duration associated with previous </w:t>
            </w:r>
            <w:r w:rsidRPr="00F859A4">
              <w:rPr>
                <w:color w:val="FF0000"/>
                <w:u w:val="single"/>
              </w:rPr>
              <w:t xml:space="preserve">L1 based signaling for </w:t>
            </w:r>
            <w:r w:rsidRPr="00B84DFF">
              <w:t xml:space="preserve">TRS availability indication </w:t>
            </w:r>
          </w:p>
          <w:p w14:paraId="5DC940ED" w14:textId="77777777" w:rsidR="00A16A90" w:rsidRPr="005149A0" w:rsidRDefault="00A16A90" w:rsidP="00A16A90">
            <w:pPr>
              <w:pStyle w:val="ListParagraph"/>
              <w:numPr>
                <w:ilvl w:val="0"/>
                <w:numId w:val="32"/>
              </w:numPr>
              <w:spacing w:line="259" w:lineRule="auto"/>
              <w:rPr>
                <w:rFonts w:eastAsia="Yu Mincho"/>
                <w:bCs/>
                <w:szCs w:val="20"/>
              </w:rPr>
            </w:pPr>
            <w:r w:rsidRPr="005149A0">
              <w:rPr>
                <w:bCs/>
                <w:szCs w:val="20"/>
              </w:rPr>
              <w:lastRenderedPageBreak/>
              <w:t xml:space="preserve">For each bit indicated as ‘1’ in the availability indication field of the current </w:t>
            </w:r>
            <w:r w:rsidRPr="00AE0646">
              <w:rPr>
                <w:rFonts w:eastAsia="DengXian"/>
                <w:color w:val="FF0000"/>
                <w:szCs w:val="20"/>
                <w:u w:val="single"/>
              </w:rPr>
              <w:t xml:space="preserve">L1 based signaling </w:t>
            </w:r>
            <w:r w:rsidRPr="00F859A4">
              <w:rPr>
                <w:bCs/>
                <w:strike/>
                <w:color w:val="FF0000"/>
                <w:szCs w:val="20"/>
              </w:rPr>
              <w:t>TRS availability indication</w:t>
            </w:r>
            <w:r w:rsidRPr="005149A0">
              <w:rPr>
                <w:bCs/>
                <w:szCs w:val="20"/>
              </w:rPr>
              <w:t>, the</w:t>
            </w:r>
            <w:r w:rsidRPr="00AE0646">
              <w:rPr>
                <w:bCs/>
                <w:color w:val="000000"/>
                <w:szCs w:val="20"/>
              </w:rPr>
              <w:t xml:space="preserve"> UE assumes the corresponding TRS resource set(s) are available</w:t>
            </w:r>
            <w:r w:rsidRPr="005149A0">
              <w:rPr>
                <w:bCs/>
                <w:szCs w:val="20"/>
              </w:rPr>
              <w:t xml:space="preserve"> from the reference point until the end of the validity duration associated with the current L1 </w:t>
            </w:r>
            <w:r w:rsidRPr="00F859A4">
              <w:rPr>
                <w:bCs/>
                <w:color w:val="FF0000"/>
                <w:szCs w:val="20"/>
                <w:u w:val="single"/>
              </w:rPr>
              <w:t>based signaling</w:t>
            </w:r>
            <w:r>
              <w:rPr>
                <w:bCs/>
                <w:color w:val="FF0000"/>
                <w:szCs w:val="20"/>
                <w:u w:val="single"/>
              </w:rPr>
              <w:t xml:space="preserve"> </w:t>
            </w:r>
            <w:r w:rsidRPr="00F859A4">
              <w:rPr>
                <w:bCs/>
                <w:strike/>
                <w:color w:val="FF0000"/>
                <w:szCs w:val="20"/>
              </w:rPr>
              <w:t>indication</w:t>
            </w:r>
            <w:r w:rsidRPr="005149A0">
              <w:rPr>
                <w:bCs/>
                <w:szCs w:val="20"/>
              </w:rPr>
              <w:t>.</w:t>
            </w:r>
          </w:p>
          <w:p w14:paraId="0CCCA7A5" w14:textId="77777777" w:rsidR="00A16A90" w:rsidRDefault="00A16A90" w:rsidP="00A16A90">
            <w:pPr>
              <w:pStyle w:val="ListParagraph"/>
              <w:numPr>
                <w:ilvl w:val="0"/>
                <w:numId w:val="32"/>
              </w:numPr>
              <w:spacing w:line="259" w:lineRule="auto"/>
              <w:rPr>
                <w:szCs w:val="20"/>
              </w:rPr>
            </w:pPr>
            <w:r w:rsidRPr="005149A0">
              <w:rPr>
                <w:szCs w:val="20"/>
              </w:rPr>
              <w:t>For each bit indicated as ‘0’ in the availability indication field</w:t>
            </w:r>
            <w:r>
              <w:rPr>
                <w:szCs w:val="20"/>
              </w:rPr>
              <w:t xml:space="preserve"> </w:t>
            </w:r>
            <w:r w:rsidRPr="00F859A4">
              <w:rPr>
                <w:bCs/>
                <w:color w:val="FF0000"/>
                <w:szCs w:val="20"/>
                <w:u w:val="single"/>
              </w:rPr>
              <w:t xml:space="preserve">of the current </w:t>
            </w:r>
            <w:r w:rsidRPr="00AE0646">
              <w:rPr>
                <w:rFonts w:eastAsia="DengXian"/>
                <w:color w:val="FF0000"/>
                <w:szCs w:val="20"/>
                <w:u w:val="single"/>
              </w:rPr>
              <w:t>L1 based signaling</w:t>
            </w:r>
            <w:r w:rsidRPr="005149A0">
              <w:rPr>
                <w:szCs w:val="20"/>
              </w:rPr>
              <w:t xml:space="preserve">, the UE keeps the </w:t>
            </w:r>
            <w:r w:rsidRPr="00CC79B3">
              <w:rPr>
                <w:color w:val="FF0000"/>
                <w:szCs w:val="20"/>
                <w:u w:val="single"/>
              </w:rPr>
              <w:t>existing</w:t>
            </w:r>
            <w:r w:rsidRPr="00CC79B3">
              <w:rPr>
                <w:color w:val="FF0000"/>
                <w:szCs w:val="20"/>
              </w:rPr>
              <w:t xml:space="preserve"> </w:t>
            </w:r>
            <w:r w:rsidRPr="00CC79B3">
              <w:rPr>
                <w:strike/>
                <w:color w:val="FF0000"/>
                <w:szCs w:val="20"/>
              </w:rPr>
              <w:t>current</w:t>
            </w:r>
            <w:r w:rsidRPr="00FF1855">
              <w:rPr>
                <w:color w:val="FF0000"/>
                <w:szCs w:val="20"/>
              </w:rPr>
              <w:t xml:space="preserve"> </w:t>
            </w:r>
            <w:r w:rsidRPr="005149A0">
              <w:rPr>
                <w:szCs w:val="20"/>
              </w:rPr>
              <w:t>assumption on the availability</w:t>
            </w:r>
            <w:r>
              <w:rPr>
                <w:szCs w:val="20"/>
              </w:rPr>
              <w:t xml:space="preserve"> </w:t>
            </w:r>
            <w:r w:rsidRPr="00CC79B3">
              <w:rPr>
                <w:color w:val="FF0000"/>
                <w:szCs w:val="20"/>
                <w:u w:val="single"/>
              </w:rPr>
              <w:t xml:space="preserve">or unavailability </w:t>
            </w:r>
            <w:r w:rsidRPr="005149A0">
              <w:rPr>
                <w:szCs w:val="20"/>
              </w:rPr>
              <w:t>of the corresponding TRS resource set(s).</w:t>
            </w:r>
          </w:p>
          <w:p w14:paraId="22482814" w14:textId="77777777" w:rsidR="00A16A90" w:rsidRDefault="00A16A90" w:rsidP="00A16A90">
            <w:pPr>
              <w:snapToGrid w:val="0"/>
              <w:spacing w:line="257" w:lineRule="auto"/>
              <w:rPr>
                <w:color w:val="FF0000"/>
                <w:u w:val="single"/>
              </w:rPr>
            </w:pPr>
            <w:r>
              <w:rPr>
                <w:color w:val="FF0000"/>
                <w:u w:val="single"/>
              </w:rPr>
              <w:t xml:space="preserve">Note: the validity duration for different group of TRS resources sets correspond to different bits in the availability indication field can be different and are maintained independently. </w:t>
            </w:r>
          </w:p>
          <w:p w14:paraId="00E2AE55" w14:textId="083C3AFB" w:rsidR="00A16A90" w:rsidRPr="00A16A90" w:rsidRDefault="00A16A90" w:rsidP="00A16A90">
            <w:r>
              <w:rPr>
                <w:rFonts w:eastAsia="DengXian" w:hint="eastAsia"/>
              </w:rPr>
              <w:t>N</w:t>
            </w:r>
            <w:r>
              <w:rPr>
                <w:rFonts w:eastAsia="DengXian"/>
              </w:rPr>
              <w:t>ote: CATT has concern on the power saving gain based on this agreement.</w:t>
            </w:r>
          </w:p>
        </w:tc>
      </w:tr>
    </w:tbl>
    <w:p w14:paraId="48646FF0" w14:textId="77777777" w:rsidR="009F381F" w:rsidRPr="009426C8" w:rsidRDefault="009F381F" w:rsidP="009426C8"/>
    <w:p w14:paraId="75F2561A" w14:textId="4B00118D" w:rsidR="00374C61" w:rsidRDefault="00374C61" w:rsidP="00374C61">
      <w:pPr>
        <w:pStyle w:val="Heading1"/>
      </w:pPr>
      <w:r>
        <w:t>Conclusions</w:t>
      </w:r>
    </w:p>
    <w:p w14:paraId="2D716E9D" w14:textId="25F99468" w:rsidR="00EC623C" w:rsidRDefault="00EC623C" w:rsidP="007419DE">
      <w:pPr>
        <w:pStyle w:val="TableofFigures"/>
        <w:tabs>
          <w:tab w:val="right" w:leader="dot" w:pos="9962"/>
        </w:tabs>
        <w:spacing w:after="240"/>
        <w:rPr>
          <w:lang w:val="en-GB"/>
        </w:rPr>
      </w:pPr>
      <w:r>
        <w:rPr>
          <w:lang w:val="en-GB"/>
        </w:rPr>
        <w:t>In this paper,</w:t>
      </w:r>
      <w:r w:rsidR="007D6321">
        <w:rPr>
          <w:lang w:val="en-GB"/>
        </w:rPr>
        <w:t xml:space="preserve"> w</w:t>
      </w:r>
      <w:r w:rsidR="007419DE">
        <w:rPr>
          <w:lang w:val="en-GB"/>
        </w:rPr>
        <w:t xml:space="preserve">e made the following </w:t>
      </w:r>
      <w:r w:rsidR="003C3F09">
        <w:rPr>
          <w:lang w:val="en-GB"/>
        </w:rPr>
        <w:t xml:space="preserve">observations and </w:t>
      </w:r>
      <w:r w:rsidR="007419DE">
        <w:rPr>
          <w:lang w:val="en-GB"/>
        </w:rPr>
        <w:t>proposals</w:t>
      </w:r>
      <w:r w:rsidR="007D6321">
        <w:rPr>
          <w:lang w:val="en-GB"/>
        </w:rPr>
        <w:t xml:space="preserve"> for remaining issues on </w:t>
      </w:r>
      <w:r w:rsidR="00332660">
        <w:rPr>
          <w:lang w:val="en-GB"/>
        </w:rPr>
        <w:t>idle and inactive TRS</w:t>
      </w:r>
      <w:r w:rsidR="007D6321">
        <w:rPr>
          <w:lang w:val="en-GB"/>
        </w:rPr>
        <w:t xml:space="preserve"> design.</w:t>
      </w:r>
    </w:p>
    <w:p w14:paraId="6DA16225" w14:textId="77777777" w:rsidR="006219AC" w:rsidRPr="000F30E7" w:rsidRDefault="005264C2" w:rsidP="00D6095C">
      <w:pPr>
        <w:rPr>
          <w:b/>
          <w:bCs/>
        </w:rPr>
      </w:pPr>
      <w:r>
        <w:rPr>
          <w:lang w:val="en-GB"/>
        </w:rPr>
        <w:fldChar w:fldCharType="begin"/>
      </w:r>
      <w:r>
        <w:rPr>
          <w:lang w:val="en-GB"/>
        </w:rPr>
        <w:instrText xml:space="preserve"> REF o1 \h </w:instrText>
      </w:r>
      <w:r>
        <w:rPr>
          <w:lang w:val="en-GB"/>
        </w:rPr>
      </w:r>
      <w:r>
        <w:rPr>
          <w:lang w:val="en-GB"/>
        </w:rPr>
        <w:fldChar w:fldCharType="separate"/>
      </w:r>
      <w:r w:rsidR="006219AC" w:rsidRPr="00E30631">
        <w:rPr>
          <w:b/>
          <w:bCs/>
        </w:rPr>
        <w:t xml:space="preserve">Observation </w:t>
      </w:r>
      <w:r w:rsidR="006219AC">
        <w:rPr>
          <w:b/>
          <w:bCs/>
          <w:noProof/>
        </w:rPr>
        <w:t>1</w:t>
      </w:r>
      <w:r w:rsidR="006219AC" w:rsidRPr="00E30631">
        <w:rPr>
          <w:b/>
          <w:bCs/>
        </w:rPr>
        <w:t>:</w:t>
      </w:r>
      <w:r w:rsidR="006219AC">
        <w:rPr>
          <w:b/>
          <w:bCs/>
        </w:rPr>
        <w:t xml:space="preserve"> Excessive transmissions of paging PDCCH with short message indicator equal to ‘00’ causes higher operating cost of a legacy UE.</w:t>
      </w:r>
    </w:p>
    <w:p w14:paraId="5DE8464C" w14:textId="77777777" w:rsidR="006219AC" w:rsidRDefault="005264C2" w:rsidP="00997CDD">
      <w:pPr>
        <w:rPr>
          <w:lang w:val="en-GB"/>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6219AC" w:rsidRPr="00F154FB">
        <w:rPr>
          <w:b/>
          <w:bCs/>
        </w:rPr>
        <w:t xml:space="preserve">Proposal </w:t>
      </w:r>
      <w:r w:rsidR="006219AC">
        <w:rPr>
          <w:b/>
          <w:bCs/>
          <w:noProof/>
        </w:rPr>
        <w:t>1</w:t>
      </w:r>
      <w:r w:rsidR="006219AC" w:rsidRPr="00F154FB">
        <w:rPr>
          <w:b/>
          <w:bCs/>
        </w:rPr>
        <w:t>:</w:t>
      </w:r>
      <w:r w:rsidR="006219AC">
        <w:rPr>
          <w:b/>
          <w:bCs/>
        </w:rPr>
        <w:t xml:space="preserve"> If network configures the Rel-17 TRS availability indicator in paging PDCCH</w:t>
      </w:r>
      <w:r w:rsidR="006219AC" w:rsidRPr="00A4485F">
        <w:rPr>
          <w:b/>
          <w:bCs/>
        </w:rPr>
        <w:t xml:space="preserve">, UE does not expect TRS availability </w:t>
      </w:r>
      <w:r w:rsidR="006219AC">
        <w:rPr>
          <w:b/>
          <w:bCs/>
        </w:rPr>
        <w:t xml:space="preserve">indication field contain all 0 bits </w:t>
      </w:r>
      <w:r w:rsidR="006219AC" w:rsidRPr="00A4485F">
        <w:rPr>
          <w:b/>
          <w:bCs/>
        </w:rPr>
        <w:t xml:space="preserve">in </w:t>
      </w:r>
      <w:r w:rsidR="006219AC">
        <w:rPr>
          <w:b/>
          <w:bCs/>
        </w:rPr>
        <w:t xml:space="preserve">the </w:t>
      </w:r>
      <w:r w:rsidR="006219AC" w:rsidRPr="00A4485F">
        <w:rPr>
          <w:b/>
          <w:bCs/>
        </w:rPr>
        <w:t xml:space="preserve">paging PDCCH </w:t>
      </w:r>
      <w:r w:rsidR="006219AC">
        <w:rPr>
          <w:b/>
          <w:bCs/>
        </w:rPr>
        <w:t>if the</w:t>
      </w:r>
      <w:r w:rsidR="006219AC" w:rsidRPr="00A4485F">
        <w:rPr>
          <w:b/>
          <w:bCs/>
        </w:rPr>
        <w:t xml:space="preserve"> short message indicator is ‘00’</w:t>
      </w:r>
      <w:r w:rsidR="006219AC">
        <w:rPr>
          <w:b/>
          <w:bCs/>
        </w:rPr>
        <w:t>.</w:t>
      </w:r>
    </w:p>
    <w:p w14:paraId="2EE4B5CD" w14:textId="2499277A" w:rsidR="00A02262" w:rsidRPr="00A02262" w:rsidRDefault="005264C2" w:rsidP="00A02262">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6DE10D62" w14:textId="704A65CD" w:rsidR="004E0DD0" w:rsidRDefault="00B25F06" w:rsidP="00397FE6">
      <w:pPr>
        <w:pStyle w:val="ListParagraph"/>
        <w:numPr>
          <w:ilvl w:val="0"/>
          <w:numId w:val="2"/>
        </w:numPr>
      </w:pPr>
      <w:bookmarkStart w:id="3" w:name="_Ref92697541"/>
      <w:bookmarkStart w:id="4" w:name="_Ref101084321"/>
      <w:bookmarkStart w:id="5" w:name="_Ref21085748"/>
      <w:bookmarkStart w:id="6" w:name="_Ref534216161"/>
      <w:bookmarkStart w:id="7" w:name="_Hlk534618356"/>
      <w:r w:rsidRPr="00B25F06">
        <w:rPr>
          <w:rFonts w:eastAsia="SimSun"/>
          <w:szCs w:val="20"/>
        </w:rPr>
        <w:t>RAN1 #107-bis-e Chairman’s notes</w:t>
      </w:r>
      <w:bookmarkEnd w:id="3"/>
      <w:bookmarkEnd w:id="4"/>
      <w:bookmarkEnd w:id="5"/>
      <w:bookmarkEnd w:id="6"/>
      <w:bookmarkEnd w:id="7"/>
    </w:p>
    <w:sectPr w:rsidR="004E0DD0" w:rsidSect="0001335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8299" w14:textId="77777777" w:rsidR="00FD70BB" w:rsidRDefault="00FD70BB">
      <w:r>
        <w:separator/>
      </w:r>
    </w:p>
  </w:endnote>
  <w:endnote w:type="continuationSeparator" w:id="0">
    <w:p w14:paraId="2229369F" w14:textId="77777777" w:rsidR="00FD70BB" w:rsidRDefault="00FD70BB">
      <w:r>
        <w:continuationSeparator/>
      </w:r>
    </w:p>
  </w:endnote>
  <w:endnote w:type="continuationNotice" w:id="1">
    <w:p w14:paraId="6DC95961" w14:textId="77777777" w:rsidR="00FD70BB" w:rsidRDefault="00FD7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CC0B" w14:textId="77777777" w:rsidR="00FD70BB" w:rsidRDefault="00FD70BB">
      <w:r>
        <w:separator/>
      </w:r>
    </w:p>
  </w:footnote>
  <w:footnote w:type="continuationSeparator" w:id="0">
    <w:p w14:paraId="6040E9C4" w14:textId="77777777" w:rsidR="00FD70BB" w:rsidRDefault="00FD70BB">
      <w:r>
        <w:continuationSeparator/>
      </w:r>
    </w:p>
  </w:footnote>
  <w:footnote w:type="continuationNotice" w:id="1">
    <w:p w14:paraId="13A37700" w14:textId="77777777" w:rsidR="00FD70BB" w:rsidRDefault="00FD7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4"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0"/>
  </w:num>
  <w:num w:numId="3">
    <w:abstractNumId w:val="2"/>
  </w:num>
  <w:num w:numId="4">
    <w:abstractNumId w:val="13"/>
  </w:num>
  <w:num w:numId="5">
    <w:abstractNumId w:val="25"/>
  </w:num>
  <w:num w:numId="6">
    <w:abstractNumId w:val="29"/>
  </w:num>
  <w:num w:numId="7">
    <w:abstractNumId w:val="30"/>
  </w:num>
  <w:num w:numId="8">
    <w:abstractNumId w:val="5"/>
  </w:num>
  <w:num w:numId="9">
    <w:abstractNumId w:val="18"/>
  </w:num>
  <w:num w:numId="10">
    <w:abstractNumId w:val="23"/>
  </w:num>
  <w:num w:numId="11">
    <w:abstractNumId w:val="16"/>
  </w:num>
  <w:num w:numId="12">
    <w:abstractNumId w:val="28"/>
  </w:num>
  <w:num w:numId="13">
    <w:abstractNumId w:val="31"/>
  </w:num>
  <w:num w:numId="14">
    <w:abstractNumId w:val="10"/>
  </w:num>
  <w:num w:numId="15">
    <w:abstractNumId w:val="8"/>
  </w:num>
  <w:num w:numId="16">
    <w:abstractNumId w:val="19"/>
  </w:num>
  <w:num w:numId="17">
    <w:abstractNumId w:val="3"/>
  </w:num>
  <w:num w:numId="18">
    <w:abstractNumId w:val="7"/>
  </w:num>
  <w:num w:numId="19">
    <w:abstractNumId w:val="6"/>
  </w:num>
  <w:num w:numId="20">
    <w:abstractNumId w:val="22"/>
  </w:num>
  <w:num w:numId="21">
    <w:abstractNumId w:val="9"/>
  </w:num>
  <w:num w:numId="22">
    <w:abstractNumId w:val="4"/>
  </w:num>
  <w:num w:numId="23">
    <w:abstractNumId w:val="24"/>
  </w:num>
  <w:num w:numId="24">
    <w:abstractNumId w:val="17"/>
  </w:num>
  <w:num w:numId="25">
    <w:abstractNumId w:val="15"/>
  </w:num>
  <w:num w:numId="26">
    <w:abstractNumId w:val="14"/>
  </w:num>
  <w:num w:numId="27">
    <w:abstractNumId w:val="1"/>
  </w:num>
  <w:num w:numId="28">
    <w:abstractNumId w:val="21"/>
  </w:num>
  <w:num w:numId="29">
    <w:abstractNumId w:val="20"/>
  </w:num>
  <w:num w:numId="30">
    <w:abstractNumId w:val="26"/>
  </w:num>
  <w:num w:numId="31">
    <w:abstractNumId w:val="12"/>
  </w:num>
  <w:num w:numId="32">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143"/>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FFE"/>
    <w:rsid w:val="00672305"/>
    <w:rsid w:val="006725CC"/>
    <w:rsid w:val="006726B1"/>
    <w:rsid w:val="0067273D"/>
    <w:rsid w:val="006727E1"/>
    <w:rsid w:val="006728AD"/>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70012"/>
    <w:rsid w:val="00F700B7"/>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995602238">
          <w:marLeft w:val="274"/>
          <w:marRight w:val="0"/>
          <w:marTop w:val="240"/>
          <w:marBottom w:val="0"/>
          <w:divBdr>
            <w:top w:val="none" w:sz="0" w:space="0" w:color="auto"/>
            <w:left w:val="none" w:sz="0" w:space="0" w:color="auto"/>
            <w:bottom w:val="none" w:sz="0" w:space="0" w:color="auto"/>
            <w:right w:val="none" w:sz="0" w:space="0" w:color="auto"/>
          </w:divBdr>
        </w:div>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104573549">
          <w:marLeft w:val="547"/>
          <w:marRight w:val="0"/>
          <w:marTop w:val="0"/>
          <w:marBottom w:val="0"/>
          <w:divBdr>
            <w:top w:val="none" w:sz="0" w:space="0" w:color="auto"/>
            <w:left w:val="none" w:sz="0" w:space="0" w:color="auto"/>
            <w:bottom w:val="none" w:sz="0" w:space="0" w:color="auto"/>
            <w:right w:val="none" w:sz="0" w:space="0" w:color="auto"/>
          </w:divBdr>
        </w:div>
        <w:div w:id="108091935">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2014648412">
          <w:marLeft w:val="1267"/>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22888965">
          <w:marLeft w:val="547"/>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1946956088">
          <w:marLeft w:val="1267"/>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57436865">
          <w:marLeft w:val="1800"/>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1469737671">
          <w:marLeft w:val="1267"/>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21833291">
          <w:marLeft w:val="547"/>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527868197">
          <w:marLeft w:val="533"/>
          <w:marRight w:val="0"/>
          <w:marTop w:val="0"/>
          <w:marBottom w:val="0"/>
          <w:divBdr>
            <w:top w:val="none" w:sz="0" w:space="0" w:color="auto"/>
            <w:left w:val="none" w:sz="0" w:space="0" w:color="auto"/>
            <w:bottom w:val="none" w:sz="0" w:space="0" w:color="auto"/>
            <w:right w:val="none" w:sz="0" w:space="0" w:color="auto"/>
          </w:divBdr>
        </w:div>
        <w:div w:id="1257249438">
          <w:marLeft w:val="806"/>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2066642763">
          <w:marLeft w:val="274"/>
          <w:marRight w:val="0"/>
          <w:marTop w:val="24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746611113">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 w:id="45185087">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984547816">
          <w:marLeft w:val="547"/>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624240024">
          <w:marLeft w:val="1800"/>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059549996">
          <w:marLeft w:val="1267"/>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53321935">
          <w:marLeft w:val="1166"/>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2079008616">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746730312">
          <w:marLeft w:val="533"/>
          <w:marRight w:val="0"/>
          <w:marTop w:val="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1727100925">
          <w:marLeft w:val="274"/>
          <w:marRight w:val="0"/>
          <w:marTop w:val="240"/>
          <w:marBottom w:val="0"/>
          <w:divBdr>
            <w:top w:val="none" w:sz="0" w:space="0" w:color="auto"/>
            <w:left w:val="none" w:sz="0" w:space="0" w:color="auto"/>
            <w:bottom w:val="none" w:sz="0" w:space="0" w:color="auto"/>
            <w:right w:val="none" w:sz="0" w:space="0" w:color="auto"/>
          </w:divBdr>
        </w:div>
        <w:div w:id="426773693">
          <w:marLeft w:val="533"/>
          <w:marRight w:val="0"/>
          <w:marTop w:val="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07434358">
          <w:marLeft w:val="274"/>
          <w:marRight w:val="0"/>
          <w:marTop w:val="24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85753185">
          <w:marLeft w:val="533"/>
          <w:marRight w:val="0"/>
          <w:marTop w:val="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501968518">
          <w:marLeft w:val="274"/>
          <w:marRight w:val="0"/>
          <w:marTop w:val="24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168987014">
          <w:marLeft w:val="533"/>
          <w:marRight w:val="0"/>
          <w:marTop w:val="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360666399">
          <w:marLeft w:val="533"/>
          <w:marRight w:val="0"/>
          <w:marTop w:val="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914046807">
          <w:marLeft w:val="126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12947256">
          <w:marLeft w:val="1800"/>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446266415">
          <w:marLeft w:val="1267"/>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56843417">
          <w:marLeft w:val="180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873269012">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318267341">
          <w:marLeft w:val="274"/>
          <w:marRight w:val="0"/>
          <w:marTop w:val="24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HR33RHYHUWRF-507899316-19841</_dlc_DocId>
    <_dlc_DocIdUrl xmlns="ca125759-a0e7-4469-93e0-e34bba23bda5">
      <Url>https://qualcomm.sharepoint.com/teams/pentari/_layouts/15/DocIdRedir.aspx?ID=HR33RHYHUWRF-507899316-19841</Url>
      <Description>HR33RHYHUWRF-507899316-19841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3286F-725C-4223-BF69-83A08FBA9B8F}">
  <ds:schemaRefs>
    <ds:schemaRef ds:uri="http://schemas.microsoft.com/sharepoint/events"/>
  </ds:schemaRefs>
</ds:datastoreItem>
</file>

<file path=customXml/itemProps2.xml><?xml version="1.0" encoding="utf-8"?>
<ds:datastoreItem xmlns:ds="http://schemas.openxmlformats.org/officeDocument/2006/customXml" ds:itemID="{2774B0E6-CDA8-48DE-BD24-87357948117F}">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588E4A0-10D6-494B-9965-FDC58F16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2</cp:revision>
  <cp:lastPrinted>2020-02-14T19:36:00Z</cp:lastPrinted>
  <dcterms:created xsi:type="dcterms:W3CDTF">2022-04-23T19:35:00Z</dcterms:created>
  <dcterms:modified xsi:type="dcterms:W3CDTF">2022-04-23T19:35:00Z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